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968" w:rsidRDefault="002A4968" w:rsidP="00244981">
      <w:pPr>
        <w:pStyle w:val="berschrift1"/>
        <w:spacing w:before="0" w:after="0" w:line="276" w:lineRule="auto"/>
        <w:jc w:val="left"/>
      </w:pPr>
      <w:r>
        <w:t xml:space="preserve">Le rotor de fraisage et de malaxage Wirtgen </w:t>
      </w:r>
      <w:r w:rsidR="00E84995" w:rsidRPr="00057837">
        <w:t>DURA</w:t>
      </w:r>
      <w:r w:rsidR="00E84995" w:rsidRPr="00057837">
        <w:rPr>
          <w:i/>
        </w:rPr>
        <w:t>FORCE</w:t>
      </w:r>
      <w:r>
        <w:t xml:space="preserve"> – un rotor adapté à toutes les situations</w:t>
      </w:r>
    </w:p>
    <w:p w:rsidR="002A4968" w:rsidRPr="00A80677" w:rsidRDefault="002A4968" w:rsidP="002E765F">
      <w:pPr>
        <w:pStyle w:val="Text"/>
      </w:pPr>
    </w:p>
    <w:p w:rsidR="002A4968" w:rsidRDefault="006E3220" w:rsidP="00F45F95">
      <w:pPr>
        <w:pStyle w:val="Text"/>
        <w:spacing w:line="276" w:lineRule="auto"/>
        <w:rPr>
          <w:rStyle w:val="Hervorhebung"/>
        </w:rPr>
      </w:pPr>
      <w:r w:rsidRPr="006E3220">
        <w:rPr>
          <w:b/>
        </w:rPr>
        <w:t xml:space="preserve">Les conditions de terrain exigeantes et variables imposent constamment de nouveaux défis aux outils de coupe utilisés dans le recyclage à froid et la stabilisation des sols. </w:t>
      </w:r>
      <w:r w:rsidR="002A4968" w:rsidRPr="006E3220">
        <w:rPr>
          <w:rStyle w:val="Hervorhebung"/>
        </w:rPr>
        <w:t xml:space="preserve">Avec le nouveau rotor de fraisage et de malaxage </w:t>
      </w:r>
      <w:r w:rsidR="00E84995" w:rsidRPr="006E3220">
        <w:rPr>
          <w:rStyle w:val="Hervorhebung"/>
        </w:rPr>
        <w:t>DURA</w:t>
      </w:r>
      <w:r w:rsidR="00E84995" w:rsidRPr="006E3220">
        <w:rPr>
          <w:rStyle w:val="Hervorhebung"/>
          <w:i/>
        </w:rPr>
        <w:t>FORCE</w:t>
      </w:r>
      <w:r w:rsidR="002A4968">
        <w:rPr>
          <w:rStyle w:val="Hervorhebung"/>
        </w:rPr>
        <w:t xml:space="preserve"> conçu pour la série WR, Wirtgen a développé une solution fiable qui satisfait aux exigences les plus extrêmes de ces deux secteurs d’application.</w:t>
      </w:r>
      <w:r w:rsidR="002A4968">
        <w:t xml:space="preserve"> </w:t>
      </w:r>
      <w:r>
        <w:rPr>
          <w:rStyle w:val="Hervorhebung"/>
        </w:rPr>
        <w:t>Ce développement marque la fin des temps de changement d'outil non rentables, maximisant à la place le temps d'exploitation lucratif.</w:t>
      </w:r>
    </w:p>
    <w:p w:rsidR="002A4968" w:rsidRDefault="002A4968" w:rsidP="00F45F95">
      <w:pPr>
        <w:pStyle w:val="Text"/>
        <w:spacing w:line="276" w:lineRule="auto"/>
        <w:rPr>
          <w:rStyle w:val="Hervorhebung"/>
        </w:rPr>
      </w:pPr>
    </w:p>
    <w:p w:rsidR="002A4968" w:rsidRPr="0014683F" w:rsidRDefault="002A4968" w:rsidP="00F45F95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Les composants du rotor de fraisage de malaxage forment une unité</w:t>
      </w:r>
    </w:p>
    <w:p w:rsidR="002A4968" w:rsidRPr="006E3220" w:rsidRDefault="002A4968" w:rsidP="006E3220">
      <w:pPr>
        <w:pStyle w:val="Text"/>
        <w:spacing w:line="276" w:lineRule="auto"/>
        <w:rPr>
          <w:rStyle w:val="Hervorhebung"/>
        </w:rPr>
      </w:pPr>
      <w:r>
        <w:rPr>
          <w:rStyle w:val="Hervorhebung"/>
          <w:b w:val="0"/>
        </w:rPr>
        <w:t xml:space="preserve">Un rendement de fraisage et de malaxage durablement élevé nécessite une interaction optimale entre le rotor, la nervure du porte-outil, le système à porte-outils interchangeables et les pics à queue ronde. Grâce aux matériaux haut de gamme et à la géométrie intelligente des composants, le rotor de fraisage et de malaxage est extrêmement résistant, même dans les missions les plus rudes telles que la stabilisation de sols </w:t>
      </w:r>
      <w:r w:rsidR="006E3220" w:rsidRPr="006E3220">
        <w:rPr>
          <w:rStyle w:val="Hervorhebung"/>
          <w:b w:val="0"/>
        </w:rPr>
        <w:t>contenant de grosses pierres,</w:t>
      </w:r>
      <w:r>
        <w:rPr>
          <w:rStyle w:val="Hervorhebung"/>
          <w:b w:val="0"/>
        </w:rPr>
        <w:t xml:space="preserve"> la stabilisation de matériaux abrasifs ou </w:t>
      </w:r>
      <w:r w:rsidR="006E3220">
        <w:rPr>
          <w:rStyle w:val="Hervorhebung"/>
          <w:b w:val="0"/>
        </w:rPr>
        <w:t>la granulation</w:t>
      </w:r>
      <w:r>
        <w:rPr>
          <w:rStyle w:val="Hervorhebung"/>
          <w:b w:val="0"/>
        </w:rPr>
        <w:t>.</w:t>
      </w:r>
      <w:r w:rsidRPr="006E3220">
        <w:rPr>
          <w:rStyle w:val="Hervorhebung"/>
        </w:rPr>
        <w:t xml:space="preserve"> </w:t>
      </w:r>
    </w:p>
    <w:p w:rsidR="002A4968" w:rsidRDefault="002A4968" w:rsidP="00F45F95">
      <w:pPr>
        <w:pStyle w:val="Text"/>
        <w:spacing w:line="276" w:lineRule="auto"/>
        <w:rPr>
          <w:rStyle w:val="Hervorhebung"/>
          <w:b w:val="0"/>
        </w:rPr>
      </w:pPr>
    </w:p>
    <w:p w:rsidR="002A4968" w:rsidRPr="00C26502" w:rsidRDefault="002A4968" w:rsidP="00F45F95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Des résultats de malaxage optimaux</w:t>
      </w:r>
    </w:p>
    <w:p w:rsidR="002A4968" w:rsidRDefault="002A4968" w:rsidP="00F45F95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L’écartement et l’agencement des outils de taille sur le rotor de fraisage et de malaxage sont adaptés à la performance spécifique des machines et assurent une excellente qualité de malaxage couplée à un processus de fraisage et de malaxage homogène et sans à-coups.</w:t>
      </w:r>
      <w:r>
        <w:t xml:space="preserve"> </w:t>
      </w:r>
      <w:r w:rsidR="006E3220">
        <w:t>La géométrie ingénieuse de la base du support et le grand diamètre du rotor DURA</w:t>
      </w:r>
      <w:r w:rsidR="006E3220" w:rsidRPr="00F05B56">
        <w:rPr>
          <w:i/>
        </w:rPr>
        <w:t>FORCE</w:t>
      </w:r>
      <w:r w:rsidR="006E3220">
        <w:t xml:space="preserve"> se combinent pour produire une chambre de mélange dont la taille varie en fonction de la profondeur de fraisage, garantissant un mélange des matériaux de manière homogène.</w:t>
      </w:r>
    </w:p>
    <w:p w:rsidR="002A4968" w:rsidRDefault="002A4968" w:rsidP="00F45F95">
      <w:pPr>
        <w:pStyle w:val="Text"/>
        <w:spacing w:line="276" w:lineRule="auto"/>
      </w:pPr>
    </w:p>
    <w:p w:rsidR="002A4968" w:rsidRPr="000C218B" w:rsidRDefault="002A4968" w:rsidP="00F45F95">
      <w:pPr>
        <w:pStyle w:val="Text"/>
        <w:spacing w:line="276" w:lineRule="auto"/>
        <w:rPr>
          <w:b/>
        </w:rPr>
      </w:pPr>
      <w:r>
        <w:rPr>
          <w:b/>
        </w:rPr>
        <w:t>Longévité et grands intervalles de maintenance</w:t>
      </w:r>
    </w:p>
    <w:p w:rsidR="002A4968" w:rsidRDefault="002A4968" w:rsidP="00F45F95">
      <w:pPr>
        <w:pStyle w:val="Text"/>
        <w:spacing w:line="276" w:lineRule="auto"/>
      </w:pPr>
      <w:r>
        <w:t xml:space="preserve">Tous les composants du système de taille sont conçus pour une longévité et une maintenance </w:t>
      </w:r>
      <w:r w:rsidR="006E3220">
        <w:t>maximales</w:t>
      </w:r>
      <w:r>
        <w:t xml:space="preserve">. Les pics à queue ronde de la génération Z se distinguent par leur résistance élevée à l’usure et aux chocs. </w:t>
      </w:r>
      <w:r w:rsidR="006E3220">
        <w:t>Le système de porte-outils à changement rapide HT22, extrêmement durable, minimise les interruptions de fonctionnement, tandis que les alliages d'outils de haute qualité confèrent une résistance maximale à la base du support-</w:t>
      </w:r>
    </w:p>
    <w:p w:rsidR="002A4968" w:rsidRDefault="002A4968" w:rsidP="00786354">
      <w:pPr>
        <w:pStyle w:val="Text"/>
        <w:spacing w:line="276" w:lineRule="auto"/>
        <w:rPr>
          <w:b/>
        </w:rPr>
      </w:pPr>
      <w:r>
        <w:t>Très fortement sollicités, les systèmes à porte-outils interchangeables situés sur les</w:t>
      </w:r>
      <w:r w:rsidR="006E3220">
        <w:t xml:space="preserve"> segments de couronne extérieurs</w:t>
      </w:r>
      <w:r>
        <w:t xml:space="preserve"> du rotor de fraisage et de malaxage </w:t>
      </w:r>
      <w:r w:rsidR="00E84995" w:rsidRPr="00057837">
        <w:rPr>
          <w:rStyle w:val="Hervorhebung"/>
          <w:b w:val="0"/>
        </w:rPr>
        <w:t>DURA</w:t>
      </w:r>
      <w:r w:rsidR="00E84995">
        <w:rPr>
          <w:rStyle w:val="Hervorhebung"/>
          <w:b w:val="0"/>
          <w:i/>
        </w:rPr>
        <w:t>FORCE</w:t>
      </w:r>
      <w:r>
        <w:t xml:space="preserve"> sont en outre facilement accessibles et permettent, si besoin, un changement rapide des segments.</w:t>
      </w:r>
    </w:p>
    <w:p w:rsidR="002A4968" w:rsidRDefault="002A4968">
      <w:pPr>
        <w:rPr>
          <w:b/>
          <w:sz w:val="22"/>
        </w:rPr>
      </w:pPr>
      <w:r>
        <w:br w:type="page"/>
      </w:r>
    </w:p>
    <w:p w:rsidR="002A4968" w:rsidRPr="00F45F95" w:rsidRDefault="002A4968" w:rsidP="0044188E">
      <w:pPr>
        <w:spacing w:line="276" w:lineRule="auto"/>
        <w:rPr>
          <w:b/>
        </w:rPr>
      </w:pPr>
      <w:r>
        <w:rPr>
          <w:b/>
          <w:sz w:val="22"/>
        </w:rPr>
        <w:lastRenderedPageBreak/>
        <w:t>Un flux de matériau idéal</w:t>
      </w:r>
    </w:p>
    <w:p w:rsidR="002A4968" w:rsidRDefault="002A4968" w:rsidP="00F45F95">
      <w:pPr>
        <w:pStyle w:val="Text"/>
        <w:spacing w:line="276" w:lineRule="auto"/>
      </w:pPr>
      <w:r>
        <w:t>La haute résistance à l’usure, la robustesse de la nervure des porte-outils ainsi que la géométrie « profilée</w:t>
      </w:r>
      <w:r w:rsidR="00786354">
        <w:t> </w:t>
      </w:r>
      <w:r>
        <w:t xml:space="preserve">» font en sorte que la résistance rencontrée lors du processus de fraisage et de malaxage reste minime. </w:t>
      </w:r>
      <w:r w:rsidR="006E3220">
        <w:t>Le flux de matière optimal garantit une utilisation très efficace de la puissance du moteur tout en minimisant l'usure.</w:t>
      </w:r>
    </w:p>
    <w:p w:rsidR="002A4968" w:rsidRDefault="002A4968" w:rsidP="00CA3873">
      <w:pPr>
        <w:pStyle w:val="Text"/>
      </w:pPr>
    </w:p>
    <w:p w:rsidR="002A4968" w:rsidRPr="001F0F86" w:rsidRDefault="002A4968" w:rsidP="001F0F86">
      <w:pPr>
        <w:pStyle w:val="Text"/>
        <w:rPr>
          <w:b/>
        </w:rPr>
      </w:pPr>
      <w:r>
        <w:rPr>
          <w:b/>
        </w:rPr>
        <w:t xml:space="preserve">Les recycleurs à froid et les stabilisateurs de sol Wirtgen </w:t>
      </w:r>
      <w:r w:rsidR="006E3220" w:rsidRPr="006E3220">
        <w:rPr>
          <w:b/>
        </w:rPr>
        <w:t>à usage universel</w:t>
      </w:r>
      <w:r>
        <w:rPr>
          <w:b/>
        </w:rPr>
        <w:t xml:space="preserve"> </w:t>
      </w:r>
    </w:p>
    <w:p w:rsidR="002A4968" w:rsidRDefault="002A4968" w:rsidP="001F0F86">
      <w:pPr>
        <w:pStyle w:val="Text"/>
      </w:pPr>
      <w:r>
        <w:t xml:space="preserve">Avec la série WR, Wirtgen propose la solution appropriée à chaque mission. Avec le rotor de fraisage et de malaxage </w:t>
      </w:r>
      <w:r w:rsidR="00E84995" w:rsidRPr="00057837">
        <w:rPr>
          <w:rStyle w:val="Hervorhebung"/>
          <w:b w:val="0"/>
        </w:rPr>
        <w:t>DURA</w:t>
      </w:r>
      <w:r w:rsidR="00E84995">
        <w:rPr>
          <w:rStyle w:val="Hervorhebung"/>
          <w:b w:val="0"/>
          <w:i/>
        </w:rPr>
        <w:t>FORCE</w:t>
      </w:r>
      <w:r w:rsidRPr="00786354">
        <w:t xml:space="preserve"> comme pièce maîtresse</w:t>
      </w:r>
      <w:r>
        <w:t>, les modèles mobiles sur roues sont les garants d’une performance et d’une rentabilité durables dans le recyclage à froid et la stabilisation de sol.</w:t>
      </w:r>
    </w:p>
    <w:p w:rsidR="002A4968" w:rsidRDefault="002A4968" w:rsidP="00CA3873">
      <w:pPr>
        <w:pStyle w:val="Text"/>
      </w:pPr>
    </w:p>
    <w:p w:rsidR="002A4968" w:rsidRDefault="002A4968" w:rsidP="00CA3873">
      <w:pPr>
        <w:pStyle w:val="Text"/>
      </w:pPr>
    </w:p>
    <w:p w:rsidR="002A4968" w:rsidRPr="002A4968" w:rsidRDefault="00A12F6B" w:rsidP="00C644CA">
      <w:pPr>
        <w:pStyle w:val="HeadlineFotos"/>
        <w:rPr>
          <w:lang w:val="de-DE"/>
        </w:rPr>
      </w:pPr>
      <w:proofErr w:type="spellStart"/>
      <w:r w:rsidRPr="00A12F6B">
        <w:rPr>
          <w:caps w:val="0"/>
          <w:szCs w:val="22"/>
          <w:lang w:val="de-DE"/>
        </w:rPr>
        <w:t>Photos</w:t>
      </w:r>
      <w:proofErr w:type="spellEnd"/>
      <w:r w:rsidRPr="00A12F6B">
        <w:rPr>
          <w:caps w:val="0"/>
          <w:szCs w:val="22"/>
          <w:lang w:val="de-DE"/>
        </w:rPr>
        <w:t> </w:t>
      </w:r>
      <w:r w:rsidRPr="00A12F6B">
        <w:rPr>
          <w:lang w:val="de-DE"/>
        </w:rPr>
        <w:t xml:space="preserve">: </w:t>
      </w:r>
    </w:p>
    <w:tbl>
      <w:tblPr>
        <w:tblW w:w="0" w:type="auto"/>
        <w:tblCellSpacing w:w="7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16"/>
        <w:gridCol w:w="4892"/>
      </w:tblGrid>
      <w:tr w:rsidR="00E84995" w:rsidRPr="00E84995" w:rsidTr="00DC3F3E">
        <w:trPr>
          <w:tblCellSpacing w:w="71" w:type="dxa"/>
        </w:trPr>
        <w:tc>
          <w:tcPr>
            <w:tcW w:w="4703" w:type="dxa"/>
            <w:tcBorders>
              <w:right w:val="single" w:sz="4" w:space="0" w:color="auto"/>
            </w:tcBorders>
          </w:tcPr>
          <w:p w:rsidR="00E84995" w:rsidRPr="00E84995" w:rsidRDefault="00E84995" w:rsidP="00E84995">
            <w:pPr>
              <w:pStyle w:val="Text"/>
            </w:pPr>
            <w:r w:rsidRPr="00E84995">
              <w:rPr>
                <w:noProof/>
                <w:lang w:val="de-DE" w:eastAsia="de-DE"/>
              </w:rPr>
              <w:drawing>
                <wp:inline distT="0" distB="0" distL="0" distR="0" wp14:anchorId="68F324B8" wp14:editId="52D48BB2">
                  <wp:extent cx="2613933" cy="1950455"/>
                  <wp:effectExtent l="0" t="0" r="0" b="0"/>
                  <wp:docPr id="8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3933" cy="1950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4995" w:rsidRPr="00E84995" w:rsidRDefault="00E84995" w:rsidP="00E84995">
            <w:pPr>
              <w:pStyle w:val="Text"/>
            </w:pPr>
          </w:p>
          <w:p w:rsidR="00E84995" w:rsidRPr="00E84995" w:rsidRDefault="00E84995" w:rsidP="00E84995">
            <w:pPr>
              <w:pStyle w:val="Text"/>
            </w:pPr>
          </w:p>
          <w:p w:rsidR="00E84995" w:rsidRPr="00E84995" w:rsidRDefault="00E84995" w:rsidP="00E84995">
            <w:pPr>
              <w:pStyle w:val="Text"/>
            </w:pPr>
          </w:p>
        </w:tc>
        <w:tc>
          <w:tcPr>
            <w:tcW w:w="4679" w:type="dxa"/>
          </w:tcPr>
          <w:p w:rsidR="00E84995" w:rsidRPr="00E84995" w:rsidRDefault="00DC3F3E" w:rsidP="00E84995">
            <w:pPr>
              <w:pStyle w:val="Text"/>
              <w:rPr>
                <w:b/>
                <w:sz w:val="20"/>
                <w:szCs w:val="20"/>
              </w:rPr>
            </w:pPr>
            <w:r w:rsidRPr="00DC3F3E">
              <w:rPr>
                <w:b/>
                <w:sz w:val="20"/>
                <w:szCs w:val="20"/>
              </w:rPr>
              <w:t>W_graphic_WR240_00054_WM_HI</w:t>
            </w:r>
          </w:p>
          <w:p w:rsidR="00E84995" w:rsidRPr="00E84995" w:rsidRDefault="00E84995" w:rsidP="00E84995">
            <w:pPr>
              <w:pStyle w:val="Text"/>
              <w:rPr>
                <w:sz w:val="20"/>
                <w:szCs w:val="20"/>
              </w:rPr>
            </w:pPr>
            <w:r w:rsidRPr="00E84995">
              <w:rPr>
                <w:sz w:val="20"/>
                <w:szCs w:val="20"/>
              </w:rPr>
              <w:t>Le puissant rotor de fraisage et de malaxage DURA</w:t>
            </w:r>
            <w:r w:rsidRPr="00E84995">
              <w:rPr>
                <w:i/>
                <w:sz w:val="20"/>
                <w:szCs w:val="20"/>
              </w:rPr>
              <w:t>FORCE</w:t>
            </w:r>
            <w:r w:rsidRPr="00E84995">
              <w:rPr>
                <w:sz w:val="20"/>
                <w:szCs w:val="20"/>
              </w:rPr>
              <w:t xml:space="preserve"> constitue la pièce maîtresse des engins mobiles sur roues de la série WR de Wirtgen.</w:t>
            </w:r>
          </w:p>
        </w:tc>
      </w:tr>
    </w:tbl>
    <w:p w:rsidR="00E84995" w:rsidRDefault="00E84995" w:rsidP="00D166AC">
      <w:pPr>
        <w:pStyle w:val="Text"/>
      </w:pPr>
    </w:p>
    <w:tbl>
      <w:tblPr>
        <w:tblW w:w="0" w:type="auto"/>
        <w:tblCellSpacing w:w="7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27"/>
        <w:gridCol w:w="142"/>
        <w:gridCol w:w="4739"/>
      </w:tblGrid>
      <w:tr w:rsidR="00DC3F3E" w:rsidRPr="00873779" w:rsidTr="00DC3F3E">
        <w:trPr>
          <w:tblCellSpacing w:w="71" w:type="dxa"/>
        </w:trPr>
        <w:tc>
          <w:tcPr>
            <w:tcW w:w="4745" w:type="dxa"/>
            <w:tcBorders>
              <w:right w:val="single" w:sz="4" w:space="0" w:color="auto"/>
            </w:tcBorders>
          </w:tcPr>
          <w:p w:rsidR="00DC3F3E" w:rsidRPr="004A78A9" w:rsidRDefault="00DC3F3E" w:rsidP="00210CDA">
            <w:pPr>
              <w:rPr>
                <w:szCs w:val="20"/>
              </w:rPr>
            </w:pPr>
            <w:r>
              <w:rPr>
                <w:noProof/>
                <w:szCs w:val="20"/>
                <w:lang w:val="de-DE" w:eastAsia="de-DE"/>
              </w:rPr>
              <w:drawing>
                <wp:inline distT="0" distB="0" distL="0" distR="0" wp14:anchorId="0BE08623" wp14:editId="3F86A210">
                  <wp:extent cx="2611835" cy="1915160"/>
                  <wp:effectExtent l="0" t="0" r="0" b="0"/>
                  <wp:docPr id="9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1835" cy="1915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3F3E" w:rsidRPr="004A78A9" w:rsidRDefault="00DC3F3E" w:rsidP="00210CDA">
            <w:pPr>
              <w:rPr>
                <w:szCs w:val="20"/>
              </w:rPr>
            </w:pPr>
          </w:p>
          <w:p w:rsidR="00DC3F3E" w:rsidRPr="004A78A9" w:rsidRDefault="00DC3F3E" w:rsidP="00210CDA">
            <w:pPr>
              <w:rPr>
                <w:szCs w:val="20"/>
              </w:rPr>
            </w:pPr>
          </w:p>
          <w:p w:rsidR="00DC3F3E" w:rsidRPr="004A78A9" w:rsidRDefault="00DC3F3E" w:rsidP="00210CDA">
            <w:pPr>
              <w:rPr>
                <w:szCs w:val="20"/>
              </w:rPr>
            </w:pPr>
          </w:p>
        </w:tc>
        <w:tc>
          <w:tcPr>
            <w:tcW w:w="4637" w:type="dxa"/>
            <w:gridSpan w:val="2"/>
          </w:tcPr>
          <w:p w:rsidR="00DC3F3E" w:rsidRPr="004A78A9" w:rsidRDefault="00DC3F3E" w:rsidP="00210CDA">
            <w:pPr>
              <w:pStyle w:val="berschrift3"/>
              <w:spacing w:line="276" w:lineRule="auto"/>
              <w:rPr>
                <w:color w:val="FF0000"/>
              </w:rPr>
            </w:pPr>
            <w:r w:rsidRPr="00392FBA">
              <w:t>W_photo_WR250_01870_HI</w:t>
            </w:r>
          </w:p>
          <w:p w:rsidR="00DC3F3E" w:rsidRPr="00873779" w:rsidRDefault="00DC3F3E" w:rsidP="00210CDA">
            <w:pPr>
              <w:pStyle w:val="Text"/>
              <w:spacing w:line="276" w:lineRule="auto"/>
              <w:jc w:val="left"/>
              <w:rPr>
                <w:sz w:val="20"/>
                <w:szCs w:val="20"/>
              </w:rPr>
            </w:pPr>
            <w:r w:rsidRPr="00E84995">
              <w:rPr>
                <w:sz w:val="20"/>
              </w:rPr>
              <w:t>Le rotor de fraisage et de malaxage Wirtgen DURA</w:t>
            </w:r>
            <w:r w:rsidRPr="00E84995">
              <w:rPr>
                <w:i/>
                <w:sz w:val="20"/>
              </w:rPr>
              <w:t>FORCE</w:t>
            </w:r>
            <w:r>
              <w:rPr>
                <w:sz w:val="20"/>
              </w:rPr>
              <w:t xml:space="preserve">: </w:t>
            </w:r>
            <w:r w:rsidRPr="00873779">
              <w:t>Le recyclage à froid et la stabilisation de sol faciles.</w:t>
            </w:r>
          </w:p>
        </w:tc>
      </w:tr>
      <w:tr w:rsidR="002A4968" w:rsidRPr="004A78A9" w:rsidTr="00E84995">
        <w:trPr>
          <w:tblCellSpacing w:w="71" w:type="dxa"/>
        </w:trPr>
        <w:tc>
          <w:tcPr>
            <w:tcW w:w="4792" w:type="dxa"/>
            <w:gridSpan w:val="2"/>
            <w:tcBorders>
              <w:right w:val="single" w:sz="4" w:space="0" w:color="auto"/>
            </w:tcBorders>
          </w:tcPr>
          <w:p w:rsidR="002A4968" w:rsidRPr="004A78A9" w:rsidRDefault="00F26021" w:rsidP="00FF1509">
            <w:pPr>
              <w:rPr>
                <w:szCs w:val="20"/>
              </w:rPr>
            </w:pPr>
            <w:r>
              <w:rPr>
                <w:noProof/>
                <w:szCs w:val="20"/>
                <w:lang w:val="de-DE" w:eastAsia="de-DE"/>
              </w:rPr>
              <w:lastRenderedPageBreak/>
              <w:drawing>
                <wp:inline distT="0" distB="0" distL="0" distR="0" wp14:anchorId="2B04263E" wp14:editId="593BD79D">
                  <wp:extent cx="2646045" cy="1764030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6045" cy="176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4968" w:rsidRPr="004A78A9" w:rsidRDefault="002A4968" w:rsidP="00FF1509">
            <w:pPr>
              <w:rPr>
                <w:szCs w:val="20"/>
              </w:rPr>
            </w:pPr>
          </w:p>
          <w:p w:rsidR="002A4968" w:rsidRPr="004A78A9" w:rsidRDefault="002A4968" w:rsidP="00FF1509">
            <w:pPr>
              <w:rPr>
                <w:szCs w:val="20"/>
              </w:rPr>
            </w:pPr>
          </w:p>
          <w:p w:rsidR="002A4968" w:rsidRPr="004A78A9" w:rsidRDefault="002A4968" w:rsidP="00FF1509">
            <w:pPr>
              <w:rPr>
                <w:szCs w:val="20"/>
              </w:rPr>
            </w:pPr>
          </w:p>
        </w:tc>
        <w:tc>
          <w:tcPr>
            <w:tcW w:w="4590" w:type="dxa"/>
          </w:tcPr>
          <w:p w:rsidR="002A4968" w:rsidRPr="004A78A9" w:rsidRDefault="00E84995" w:rsidP="004A78A9">
            <w:pPr>
              <w:pStyle w:val="berschrift3"/>
              <w:spacing w:line="276" w:lineRule="auto"/>
            </w:pPr>
            <w:r w:rsidRPr="00810CBB">
              <w:t>W_photo_WR240i_00455_HI</w:t>
            </w:r>
          </w:p>
          <w:p w:rsidR="002A4968" w:rsidRPr="004A78A9" w:rsidRDefault="002A4968" w:rsidP="004A78A9">
            <w:pPr>
              <w:pStyle w:val="Text"/>
              <w:spacing w:line="276" w:lineRule="auto"/>
              <w:jc w:val="left"/>
              <w:rPr>
                <w:sz w:val="20"/>
                <w:szCs w:val="20"/>
              </w:rPr>
            </w:pPr>
            <w:r w:rsidRPr="004A78A9">
              <w:rPr>
                <w:sz w:val="20"/>
                <w:szCs w:val="20"/>
              </w:rPr>
              <w:t xml:space="preserve">Le rotor de fraisage et de malaxage Wirtgen </w:t>
            </w:r>
            <w:r w:rsidR="00E84995" w:rsidRPr="00E625F5">
              <w:rPr>
                <w:sz w:val="20"/>
              </w:rPr>
              <w:t>DURA</w:t>
            </w:r>
            <w:r w:rsidR="00E84995">
              <w:rPr>
                <w:i/>
                <w:sz w:val="20"/>
              </w:rPr>
              <w:t>FORCE</w:t>
            </w:r>
            <w:r w:rsidRPr="004A78A9">
              <w:rPr>
                <w:color w:val="FF0000"/>
                <w:sz w:val="20"/>
                <w:szCs w:val="20"/>
              </w:rPr>
              <w:t xml:space="preserve"> </w:t>
            </w:r>
            <w:r w:rsidRPr="004A78A9">
              <w:rPr>
                <w:sz w:val="20"/>
                <w:szCs w:val="20"/>
              </w:rPr>
              <w:t>assure une longévité maximum, même dans des conditions d’utilisation extrême</w:t>
            </w:r>
            <w:r>
              <w:rPr>
                <w:sz w:val="20"/>
                <w:szCs w:val="20"/>
              </w:rPr>
              <w:t>s</w:t>
            </w:r>
            <w:r w:rsidRPr="004A78A9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à la fois </w:t>
            </w:r>
            <w:r w:rsidRPr="004A78A9">
              <w:rPr>
                <w:sz w:val="20"/>
                <w:szCs w:val="20"/>
              </w:rPr>
              <w:t>dans le recyclage à froid et la stabilisation de sol.</w:t>
            </w:r>
          </w:p>
        </w:tc>
      </w:tr>
    </w:tbl>
    <w:p w:rsidR="002A4968" w:rsidRDefault="002A4968" w:rsidP="00D166AC">
      <w:pPr>
        <w:pStyle w:val="Text"/>
      </w:pPr>
    </w:p>
    <w:tbl>
      <w:tblPr>
        <w:tblW w:w="0" w:type="auto"/>
        <w:tblCellSpacing w:w="7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03"/>
        <w:gridCol w:w="4805"/>
      </w:tblGrid>
      <w:tr w:rsidR="002A4968" w:rsidRPr="004A78A9" w:rsidTr="00E84995">
        <w:trPr>
          <w:tblCellSpacing w:w="71" w:type="dxa"/>
        </w:trPr>
        <w:tc>
          <w:tcPr>
            <w:tcW w:w="4790" w:type="dxa"/>
            <w:tcBorders>
              <w:right w:val="single" w:sz="4" w:space="0" w:color="auto"/>
            </w:tcBorders>
          </w:tcPr>
          <w:p w:rsidR="002A4968" w:rsidRPr="004A78A9" w:rsidRDefault="0086060F" w:rsidP="00FF1509">
            <w:pPr>
              <w:rPr>
                <w:szCs w:val="20"/>
              </w:rPr>
            </w:pPr>
            <w:r>
              <w:rPr>
                <w:szCs w:val="20"/>
              </w:rPr>
              <w:t xml:space="preserve">      </w:t>
            </w:r>
            <w:r w:rsidR="00F26021">
              <w:rPr>
                <w:noProof/>
                <w:szCs w:val="20"/>
                <w:lang w:val="de-DE" w:eastAsia="de-DE"/>
              </w:rPr>
              <w:drawing>
                <wp:inline distT="0" distB="0" distL="0" distR="0" wp14:anchorId="110DEE0F" wp14:editId="5E726540">
                  <wp:extent cx="2196935" cy="3107158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568" cy="31080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4968" w:rsidRPr="004A78A9" w:rsidRDefault="002A4968" w:rsidP="00FF1509">
            <w:pPr>
              <w:rPr>
                <w:szCs w:val="20"/>
              </w:rPr>
            </w:pPr>
          </w:p>
          <w:p w:rsidR="002A4968" w:rsidRPr="004A78A9" w:rsidRDefault="002A4968" w:rsidP="00FF1509">
            <w:pPr>
              <w:rPr>
                <w:szCs w:val="20"/>
              </w:rPr>
            </w:pPr>
          </w:p>
          <w:p w:rsidR="002A4968" w:rsidRPr="004A78A9" w:rsidRDefault="002A4968" w:rsidP="00FF1509">
            <w:pPr>
              <w:rPr>
                <w:szCs w:val="20"/>
              </w:rPr>
            </w:pPr>
          </w:p>
        </w:tc>
        <w:tc>
          <w:tcPr>
            <w:tcW w:w="4592" w:type="dxa"/>
          </w:tcPr>
          <w:p w:rsidR="002A4968" w:rsidRPr="0086060F" w:rsidRDefault="0086060F" w:rsidP="004A78A9">
            <w:pPr>
              <w:pStyle w:val="berschrift3"/>
              <w:spacing w:line="276" w:lineRule="auto"/>
            </w:pPr>
            <w:r w:rsidRPr="0086060F">
              <w:t>W_graphic_HT22_00007_HI</w:t>
            </w:r>
          </w:p>
          <w:p w:rsidR="002A4968" w:rsidRPr="004A78A9" w:rsidRDefault="002A4968" w:rsidP="004A78A9">
            <w:pPr>
              <w:pStyle w:val="Text"/>
              <w:spacing w:line="276" w:lineRule="auto"/>
              <w:jc w:val="left"/>
              <w:rPr>
                <w:sz w:val="20"/>
                <w:szCs w:val="20"/>
              </w:rPr>
            </w:pPr>
            <w:r w:rsidRPr="004A78A9">
              <w:rPr>
                <w:sz w:val="20"/>
                <w:szCs w:val="20"/>
              </w:rPr>
              <w:t xml:space="preserve">Le rotor de fraisage et de malaxage Wirtgen </w:t>
            </w:r>
            <w:r w:rsidR="00E84995" w:rsidRPr="00E625F5">
              <w:rPr>
                <w:sz w:val="20"/>
              </w:rPr>
              <w:t>DURA</w:t>
            </w:r>
            <w:r w:rsidR="00E84995">
              <w:rPr>
                <w:i/>
                <w:sz w:val="20"/>
              </w:rPr>
              <w:t>FORCE</w:t>
            </w:r>
            <w:r w:rsidR="00E84995" w:rsidRPr="004A78A9">
              <w:rPr>
                <w:sz w:val="20"/>
                <w:szCs w:val="20"/>
              </w:rPr>
              <w:t xml:space="preserve"> </w:t>
            </w:r>
            <w:r w:rsidRPr="004A78A9">
              <w:rPr>
                <w:sz w:val="20"/>
                <w:szCs w:val="20"/>
              </w:rPr>
              <w:t>se distingue par une haute résistance à l’usure, aux chocs et à la rupture. La géométrie singulière des nervures des porte-outils, combinée à la répartition intelligente du matériau, permet une répartition optimale des forces en présence – notamment les pics de charge résultant des forces transversales.</w:t>
            </w:r>
          </w:p>
        </w:tc>
      </w:tr>
    </w:tbl>
    <w:p w:rsidR="00A307C8" w:rsidRDefault="00E84995" w:rsidP="00C03396">
      <w:pPr>
        <w:pStyle w:val="Text"/>
        <w:rPr>
          <w:i/>
        </w:rPr>
      </w:pPr>
      <w:r w:rsidRPr="004527D9">
        <w:rPr>
          <w:i/>
          <w:u w:val="single"/>
        </w:rPr>
        <w:t>Attention :</w:t>
      </w:r>
      <w:r w:rsidRPr="004527D9">
        <w:rPr>
          <w:i/>
        </w:rPr>
        <w:t xml:space="preserve"> Ces photos sont destinées uniquement à une première visualisation. Pour une reproduction dans vos publications, merci d’utiliser les photos en résolution de 300 dpi, que vous pourrez télécharger sur le site web de Wirtgen GmbH / </w:t>
      </w:r>
    </w:p>
    <w:p w:rsidR="002A4968" w:rsidRPr="00E84995" w:rsidRDefault="00E84995" w:rsidP="00C03396">
      <w:pPr>
        <w:pStyle w:val="Text"/>
        <w:rPr>
          <w:highlight w:val="yellow"/>
        </w:rPr>
      </w:pPr>
      <w:r w:rsidRPr="004527D9">
        <w:rPr>
          <w:i/>
        </w:rPr>
        <w:t>Wirtgen Group.</w:t>
      </w:r>
    </w:p>
    <w:p w:rsidR="0086060F" w:rsidRDefault="0086060F">
      <w:r>
        <w:rPr>
          <w:b/>
          <w:caps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784"/>
        <w:gridCol w:w="4740"/>
      </w:tblGrid>
      <w:tr w:rsidR="002A4968" w:rsidRPr="004A78A9" w:rsidTr="004A78A9">
        <w:tc>
          <w:tcPr>
            <w:tcW w:w="4784" w:type="dxa"/>
            <w:tcBorders>
              <w:right w:val="single" w:sz="48" w:space="0" w:color="FFFFFF"/>
            </w:tcBorders>
          </w:tcPr>
          <w:p w:rsidR="00E84995" w:rsidRPr="00BA6793" w:rsidRDefault="00E84995" w:rsidP="00E84995">
            <w:pPr>
              <w:pStyle w:val="HeadlineKontakte"/>
              <w:rPr>
                <w:rFonts w:eastAsia="Calibri"/>
                <w:caps w:val="0"/>
                <w:szCs w:val="22"/>
              </w:rPr>
            </w:pPr>
            <w:bookmarkStart w:id="0" w:name="_GoBack"/>
            <w:bookmarkEnd w:id="0"/>
            <w:r w:rsidRPr="00BA6793">
              <w:rPr>
                <w:rFonts w:cs="Arial"/>
              </w:rPr>
              <w:lastRenderedPageBreak/>
              <w:t>Vous obtiendrez de plus amples</w:t>
            </w:r>
          </w:p>
          <w:p w:rsidR="00E84995" w:rsidRPr="00A100EA" w:rsidRDefault="00E84995" w:rsidP="00E84995">
            <w:pPr>
              <w:pStyle w:val="HeadlineKontakte"/>
            </w:pPr>
            <w:r w:rsidRPr="00A100EA">
              <w:rPr>
                <w:rFonts w:cs="Arial"/>
              </w:rPr>
              <w:t xml:space="preserve">informations auprès de </w:t>
            </w:r>
            <w:r w:rsidRPr="00A100EA">
              <w:t>:</w:t>
            </w:r>
          </w:p>
          <w:p w:rsidR="00E84995" w:rsidRPr="00564374" w:rsidRDefault="00E84995" w:rsidP="00E84995">
            <w:pPr>
              <w:pStyle w:val="Text"/>
            </w:pPr>
            <w:r w:rsidRPr="00564374">
              <w:t>WIRTGEN GmbH</w:t>
            </w:r>
          </w:p>
          <w:p w:rsidR="00E84995" w:rsidRPr="00564374" w:rsidRDefault="00E84995" w:rsidP="00E84995">
            <w:pPr>
              <w:pStyle w:val="Text"/>
            </w:pPr>
            <w:proofErr w:type="spellStart"/>
            <w:r w:rsidRPr="00564374">
              <w:t>Corporate</w:t>
            </w:r>
            <w:proofErr w:type="spellEnd"/>
            <w:r w:rsidRPr="00564374">
              <w:t xml:space="preserve"> Communications</w:t>
            </w:r>
          </w:p>
          <w:p w:rsidR="00E84995" w:rsidRPr="00564374" w:rsidRDefault="00E84995" w:rsidP="00E84995">
            <w:pPr>
              <w:pStyle w:val="Text"/>
            </w:pPr>
            <w:r w:rsidRPr="00564374">
              <w:t>Michaela Adams, Mario Linnemann</w:t>
            </w:r>
          </w:p>
          <w:p w:rsidR="00E84995" w:rsidRPr="00564374" w:rsidRDefault="00E84995" w:rsidP="00E84995">
            <w:pPr>
              <w:pStyle w:val="Text"/>
            </w:pPr>
            <w:r w:rsidRPr="00564374">
              <w:t>Reinhard-Wirtgen-</w:t>
            </w:r>
            <w:proofErr w:type="spellStart"/>
            <w:r w:rsidRPr="00564374">
              <w:t>Straße</w:t>
            </w:r>
            <w:proofErr w:type="spellEnd"/>
            <w:r w:rsidRPr="00564374">
              <w:t xml:space="preserve"> 2</w:t>
            </w:r>
          </w:p>
          <w:p w:rsidR="00E84995" w:rsidRPr="00564374" w:rsidRDefault="00E84995" w:rsidP="00E84995">
            <w:pPr>
              <w:pStyle w:val="Text"/>
            </w:pPr>
            <w:r w:rsidRPr="00564374">
              <w:t xml:space="preserve">53578 </w:t>
            </w:r>
            <w:proofErr w:type="spellStart"/>
            <w:r w:rsidRPr="00564374">
              <w:t>Windhagen</w:t>
            </w:r>
            <w:proofErr w:type="spellEnd"/>
          </w:p>
          <w:p w:rsidR="00E84995" w:rsidRPr="00B925BA" w:rsidRDefault="00E84995" w:rsidP="00E84995">
            <w:pPr>
              <w:pStyle w:val="Text"/>
            </w:pPr>
            <w:r w:rsidRPr="00B925BA">
              <w:t>Allemagne</w:t>
            </w:r>
          </w:p>
          <w:p w:rsidR="00E84995" w:rsidRPr="00B925BA" w:rsidRDefault="00E84995" w:rsidP="00E84995">
            <w:pPr>
              <w:pStyle w:val="Text"/>
            </w:pPr>
          </w:p>
          <w:p w:rsidR="00E84995" w:rsidRPr="00B925BA" w:rsidRDefault="00E84995" w:rsidP="00E84995">
            <w:pPr>
              <w:pStyle w:val="Text"/>
            </w:pPr>
            <w:r>
              <w:t>Téléphone :</w:t>
            </w:r>
            <w:r w:rsidR="00B06B47">
              <w:t xml:space="preserve"> </w:t>
            </w:r>
            <w:r w:rsidRPr="00B925BA">
              <w:t xml:space="preserve">+49 (0) 2645 131 – </w:t>
            </w:r>
            <w:r>
              <w:t>4510</w:t>
            </w:r>
          </w:p>
          <w:p w:rsidR="00E84995" w:rsidRPr="00B925BA" w:rsidRDefault="00E84995" w:rsidP="00E84995">
            <w:pPr>
              <w:pStyle w:val="Text"/>
            </w:pPr>
            <w:proofErr w:type="spellStart"/>
            <w:r w:rsidRPr="00B925BA">
              <w:t>Telefax</w:t>
            </w:r>
            <w:proofErr w:type="spellEnd"/>
            <w:r>
              <w:t xml:space="preserve"> </w:t>
            </w:r>
            <w:r w:rsidRPr="00B925BA">
              <w:t>:</w:t>
            </w:r>
            <w:r>
              <w:t xml:space="preserve"> </w:t>
            </w:r>
            <w:r w:rsidRPr="00B925BA">
              <w:t>+49 (0) 2645 131 – 499</w:t>
            </w:r>
          </w:p>
          <w:p w:rsidR="00E84995" w:rsidRPr="00B925BA" w:rsidRDefault="00E84995" w:rsidP="00E84995">
            <w:pPr>
              <w:pStyle w:val="Text"/>
            </w:pPr>
            <w:r>
              <w:t>E</w:t>
            </w:r>
            <w:r w:rsidRPr="00B925BA">
              <w:t>-mail</w:t>
            </w:r>
            <w:r>
              <w:t xml:space="preserve"> : </w:t>
            </w:r>
            <w:r w:rsidRPr="00B925BA">
              <w:t>presse@wirtgen.com</w:t>
            </w:r>
          </w:p>
          <w:p w:rsidR="002A4968" w:rsidRPr="00E84995" w:rsidRDefault="00E84995" w:rsidP="008D4AE7">
            <w:pPr>
              <w:pStyle w:val="Text"/>
              <w:rPr>
                <w:szCs w:val="20"/>
                <w:highlight w:val="yellow"/>
                <w:lang w:val="it-IT"/>
              </w:rPr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/>
            </w:tcBorders>
          </w:tcPr>
          <w:p w:rsidR="002A4968" w:rsidRPr="004A78A9" w:rsidRDefault="002A4968" w:rsidP="0034191A">
            <w:pPr>
              <w:pStyle w:val="Text"/>
              <w:rPr>
                <w:szCs w:val="20"/>
              </w:rPr>
            </w:pPr>
          </w:p>
        </w:tc>
      </w:tr>
    </w:tbl>
    <w:p w:rsidR="002A4968" w:rsidRPr="00A307C8" w:rsidRDefault="002A4968" w:rsidP="00A307C8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</w:p>
    <w:sectPr w:rsidR="002A4968" w:rsidRPr="00A307C8" w:rsidSect="0087377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85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0B8" w:rsidRDefault="00B560B8" w:rsidP="00E55534">
      <w:r>
        <w:separator/>
      </w:r>
    </w:p>
  </w:endnote>
  <w:endnote w:type="continuationSeparator" w:id="0">
    <w:p w:rsidR="00B560B8" w:rsidRDefault="00B560B8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8364"/>
      <w:gridCol w:w="1160"/>
    </w:tblGrid>
    <w:tr w:rsidR="002A4968" w:rsidRPr="004A78A9" w:rsidTr="004A78A9">
      <w:trPr>
        <w:trHeight w:hRule="exact" w:val="227"/>
      </w:trPr>
      <w:tc>
        <w:tcPr>
          <w:tcW w:w="8364" w:type="dxa"/>
        </w:tcPr>
        <w:p w:rsidR="002A4968" w:rsidRPr="004A78A9" w:rsidRDefault="002A4968" w:rsidP="004A78A9">
          <w:pPr>
            <w:pStyle w:val="Kolumnentitel"/>
            <w:rPr>
              <w:szCs w:val="20"/>
            </w:rPr>
          </w:pPr>
          <w:r w:rsidRPr="004A78A9">
            <w:rPr>
              <w:rStyle w:val="Platzhaltertext"/>
              <w:szCs w:val="20"/>
            </w:rPr>
            <w:t xml:space="preserve">     </w:t>
          </w:r>
        </w:p>
      </w:tc>
      <w:tc>
        <w:tcPr>
          <w:tcW w:w="1160" w:type="dxa"/>
        </w:tcPr>
        <w:p w:rsidR="002A4968" w:rsidRPr="004A78A9" w:rsidRDefault="00A12F6B" w:rsidP="004A78A9">
          <w:pPr>
            <w:pStyle w:val="Seitenzahlen"/>
            <w:rPr>
              <w:szCs w:val="20"/>
            </w:rPr>
          </w:pPr>
          <w:r w:rsidRPr="004A78A9">
            <w:rPr>
              <w:szCs w:val="20"/>
            </w:rPr>
            <w:fldChar w:fldCharType="begin"/>
          </w:r>
          <w:r w:rsidR="002A4968" w:rsidRPr="004A78A9">
            <w:rPr>
              <w:szCs w:val="20"/>
            </w:rPr>
            <w:instrText xml:space="preserve"> PAGE \# "00"</w:instrText>
          </w:r>
          <w:r w:rsidRPr="004A78A9">
            <w:rPr>
              <w:szCs w:val="20"/>
            </w:rPr>
            <w:fldChar w:fldCharType="separate"/>
          </w:r>
          <w:r w:rsidR="0086060F">
            <w:rPr>
              <w:noProof/>
              <w:szCs w:val="20"/>
            </w:rPr>
            <w:t>02</w:t>
          </w:r>
          <w:r w:rsidRPr="004A78A9">
            <w:rPr>
              <w:szCs w:val="20"/>
            </w:rPr>
            <w:fldChar w:fldCharType="end"/>
          </w:r>
        </w:p>
      </w:tc>
    </w:tr>
  </w:tbl>
  <w:p w:rsidR="002A4968" w:rsidRDefault="0086060F">
    <w:pPr>
      <w:pStyle w:val="Fuzeile"/>
    </w:pPr>
    <w:r>
      <w:rPr>
        <w:noProof/>
        <w:lang w:val="de-DE" w:eastAsia="de-DE"/>
      </w:rPr>
      <w:pict>
        <v:rect id="Rechteck 12" o:spid="_x0000_s2052" style="position:absolute;margin-left:59.55pt;margin-top:802.3pt;width:476.2pt;height:1.4pt;z-index: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" stroked="f" strokeweight="2pt">
          <w10:wrap anchorx="page" anchory="page"/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9524"/>
    </w:tblGrid>
    <w:tr w:rsidR="002A4968" w:rsidRPr="004A78A9" w:rsidTr="004A78A9">
      <w:tc>
        <w:tcPr>
          <w:tcW w:w="9664" w:type="dxa"/>
        </w:tcPr>
        <w:p w:rsidR="002A4968" w:rsidRPr="004A78A9" w:rsidRDefault="00A12F6B" w:rsidP="004A78A9">
          <w:pPr>
            <w:pStyle w:val="Fuzeile"/>
            <w:spacing w:before="96" w:after="96"/>
            <w:rPr>
              <w:szCs w:val="20"/>
            </w:rPr>
          </w:pPr>
          <w:r w:rsidRPr="00A12F6B">
            <w:rPr>
              <w:rStyle w:val="Hervorhebung"/>
              <w:szCs w:val="20"/>
              <w:lang w:val="de-DE"/>
            </w:rPr>
            <w:t>WIRTGEN GmbH</w:t>
          </w:r>
          <w:r w:rsidRPr="00A12F6B">
            <w:rPr>
              <w:szCs w:val="20"/>
              <w:lang w:val="de-DE"/>
            </w:rPr>
            <w:t xml:space="preserve"> · Reinhard-Wirtgen-Str. </w:t>
          </w:r>
          <w:r w:rsidR="002A4968" w:rsidRPr="004A78A9">
            <w:rPr>
              <w:szCs w:val="20"/>
            </w:rPr>
            <w:t xml:space="preserve">2 · D-53578 </w:t>
          </w:r>
          <w:proofErr w:type="spellStart"/>
          <w:r w:rsidR="002A4968" w:rsidRPr="004A78A9">
            <w:rPr>
              <w:szCs w:val="20"/>
            </w:rPr>
            <w:t>Windhagen</w:t>
          </w:r>
          <w:proofErr w:type="spellEnd"/>
          <w:r w:rsidR="002A4968" w:rsidRPr="004A78A9">
            <w:rPr>
              <w:szCs w:val="20"/>
            </w:rPr>
            <w:t xml:space="preserve"> · T: +49 26 45 / 131 0</w:t>
          </w:r>
        </w:p>
      </w:tc>
    </w:tr>
  </w:tbl>
  <w:p w:rsidR="002A4968" w:rsidRDefault="0086060F">
    <w:pPr>
      <w:pStyle w:val="Fuzeile"/>
    </w:pPr>
    <w:r>
      <w:rPr>
        <w:noProof/>
        <w:lang w:val="de-DE" w:eastAsia="de-DE"/>
      </w:rPr>
      <w:pict>
        <v:rect id="Rechteck 6" o:spid="_x0000_s2056" style="position:absolute;margin-left:59.55pt;margin-top:793.8pt;width:476.2pt;height:1.4pt;z-index:25165721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" stroked="f" strokeweight="2pt"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0B8" w:rsidRDefault="00B560B8" w:rsidP="00E55534">
      <w:r>
        <w:separator/>
      </w:r>
    </w:p>
  </w:footnote>
  <w:footnote w:type="continuationSeparator" w:id="0">
    <w:p w:rsidR="00B560B8" w:rsidRDefault="00B560B8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968" w:rsidRPr="002E765F" w:rsidRDefault="002A4968">
    <w:pPr>
      <w:pStyle w:val="Kopfzeile"/>
      <w:rPr>
        <w:noProof/>
        <w:sz w:val="14"/>
        <w:lang w:eastAsia="de-DE"/>
      </w:rPr>
    </w:pPr>
  </w:p>
  <w:tbl>
    <w:tblPr>
      <w:tblpPr w:vertAnchor="page" w:horzAnchor="page" w:tblpX="7287" w:tblpY="1379"/>
      <w:tblW w:w="0" w:type="auto"/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439"/>
    </w:tblGrid>
    <w:tr w:rsidR="002A4968" w:rsidRPr="004A78A9" w:rsidTr="004A78A9">
      <w:trPr>
        <w:trHeight w:hRule="exact" w:val="510"/>
      </w:trPr>
      <w:tc>
        <w:tcPr>
          <w:tcW w:w="3439" w:type="dxa"/>
        </w:tcPr>
        <w:p w:rsidR="002A4968" w:rsidRPr="004A78A9" w:rsidRDefault="002A4968" w:rsidP="004A78A9">
          <w:pPr>
            <w:pStyle w:val="Titel"/>
            <w:jc w:val="right"/>
            <w:rPr>
              <w:sz w:val="32"/>
              <w:szCs w:val="34"/>
            </w:rPr>
          </w:pPr>
          <w:r w:rsidRPr="004A78A9">
            <w:rPr>
              <w:sz w:val="32"/>
              <w:szCs w:val="34"/>
            </w:rPr>
            <w:t xml:space="preserve">PRESS </w:t>
          </w:r>
          <w:r w:rsidRPr="004A78A9">
            <w:rPr>
              <w:sz w:val="6"/>
              <w:szCs w:val="2"/>
            </w:rPr>
            <w:t xml:space="preserve"> </w:t>
          </w:r>
          <w:r w:rsidRPr="004A78A9">
            <w:rPr>
              <w:sz w:val="32"/>
              <w:szCs w:val="34"/>
            </w:rPr>
            <w:t>RELEASE</w:t>
          </w:r>
        </w:p>
      </w:tc>
    </w:tr>
  </w:tbl>
  <w:p w:rsidR="002A4968" w:rsidRPr="002E765F" w:rsidRDefault="00F26021">
    <w:pPr>
      <w:pStyle w:val="Kopfzeile"/>
      <w:rPr>
        <w:sz w:val="14"/>
      </w:rPr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55668403" wp14:editId="58E34A38">
          <wp:simplePos x="0" y="0"/>
          <wp:positionH relativeFrom="page">
            <wp:posOffset>5443855</wp:posOffset>
          </wp:positionH>
          <wp:positionV relativeFrom="page">
            <wp:posOffset>323850</wp:posOffset>
          </wp:positionV>
          <wp:extent cx="1360805" cy="64770"/>
          <wp:effectExtent l="19050" t="0" r="0" b="0"/>
          <wp:wrapNone/>
          <wp:docPr id="1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64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240" behindDoc="0" locked="0" layoutInCell="1" allowOverlap="1" wp14:anchorId="22A32C19" wp14:editId="68DF882E">
          <wp:simplePos x="0" y="0"/>
          <wp:positionH relativeFrom="page">
            <wp:posOffset>756285</wp:posOffset>
          </wp:positionH>
          <wp:positionV relativeFrom="page">
            <wp:posOffset>288290</wp:posOffset>
          </wp:positionV>
          <wp:extent cx="1605915" cy="288290"/>
          <wp:effectExtent l="19050" t="0" r="0" b="0"/>
          <wp:wrapNone/>
          <wp:docPr id="2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915" cy="288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6060F">
      <w:rPr>
        <w:noProof/>
        <w:lang w:val="de-DE" w:eastAsia="de-DE"/>
      </w:rPr>
      <w:pict>
        <v:rect id="Rechteck 11" o:spid="_x0000_s2051" style="position:absolute;margin-left:59.55pt;margin-top:55.3pt;width:476.2pt;height:2.85pt;z-index:25166028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" stroked="f" strokeweight="2pt"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968" w:rsidRDefault="0086060F">
    <w:pPr>
      <w:pStyle w:val="Kopfzeile"/>
    </w:pPr>
    <w:r>
      <w:rPr>
        <w:noProof/>
        <w:lang w:val="de-DE" w:eastAsia="de-DE"/>
      </w:rPr>
      <w:pict>
        <v:rect id="Rechteck 5" o:spid="_x0000_s2053" style="position:absolute;margin-left:59.55pt;margin-top:73.7pt;width:476.2pt;height:2.85pt;z-index:25165619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" stroked="f" strokeweight="2pt">
          <w10:wrap anchorx="page" anchory="page"/>
        </v:rect>
      </w:pict>
    </w:r>
    <w:r w:rsidR="00F26021">
      <w:rPr>
        <w:noProof/>
        <w:lang w:val="de-DE" w:eastAsia="de-DE"/>
      </w:rPr>
      <w:drawing>
        <wp:anchor distT="0" distB="0" distL="114300" distR="114300" simplePos="0" relativeHeight="251655168" behindDoc="0" locked="0" layoutInCell="1" allowOverlap="1" wp14:anchorId="62784964" wp14:editId="3BA464C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19050" t="0" r="0" b="0"/>
          <wp:wrapNone/>
          <wp:docPr id="6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26021">
      <w:rPr>
        <w:noProof/>
        <w:lang w:val="de-DE" w:eastAsia="de-DE"/>
      </w:rPr>
      <w:drawing>
        <wp:anchor distT="0" distB="0" distL="114300" distR="114300" simplePos="0" relativeHeight="251654144" behindDoc="0" locked="0" layoutInCell="1" allowOverlap="1" wp14:anchorId="2CBA41BE" wp14:editId="0078D2A5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19050" t="0" r="5080" b="0"/>
          <wp:wrapNone/>
          <wp:docPr id="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499.85pt;height:1499.85pt" o:bullet="t">
        <v:imagedata r:id="rId1" o:title=""/>
      </v:shape>
    </w:pict>
  </w:numPicBullet>
  <w:numPicBullet w:numPicBulletId="1">
    <w:pict>
      <v:shape id="_x0000_i1030" type="#_x0000_t75" style="width:6.55pt;height:6.55pt" o:bullet="t">
        <v:imagedata r:id="rId2" o:title="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rPr>
        <w:rFonts w:cs="Times New Roman" w:hint="default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cs="Times New Roman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cs="Times New Roman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sz w:val="22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</w:pPr>
      <w:rPr>
        <w:rFonts w:ascii="Verdana" w:hAnsi="Verdana" w:cs="Times New Roman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cs="Times New Roman" w:hint="default"/>
        <w:sz w:val="22"/>
      </w:rPr>
    </w:lvl>
    <w:lvl w:ilvl="1">
      <w:start w:val="1"/>
      <w:numFmt w:val="none"/>
      <w:lvlText w:val=""/>
      <w:lvlJc w:val="left"/>
      <w:rPr>
        <w:rFonts w:cs="Times New Roman" w:hint="default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cs="Times New Roman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cs="Times New Roman" w:hint="default"/>
        <w:b/>
        <w:i w:val="0"/>
        <w:sz w:val="16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16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</w:pPr>
      <w:rPr>
        <w:rFonts w:ascii="Verdana" w:hAnsi="Verdana" w:cs="Times New Roman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3396"/>
    <w:rsid w:val="00001B30"/>
    <w:rsid w:val="0001320B"/>
    <w:rsid w:val="000358D8"/>
    <w:rsid w:val="00042106"/>
    <w:rsid w:val="000473F6"/>
    <w:rsid w:val="0005285B"/>
    <w:rsid w:val="00066D09"/>
    <w:rsid w:val="00095B48"/>
    <w:rsid w:val="0009665C"/>
    <w:rsid w:val="000C218B"/>
    <w:rsid w:val="000E2697"/>
    <w:rsid w:val="000E7D83"/>
    <w:rsid w:val="00103205"/>
    <w:rsid w:val="00116967"/>
    <w:rsid w:val="0012026F"/>
    <w:rsid w:val="00132055"/>
    <w:rsid w:val="0014683F"/>
    <w:rsid w:val="00155B09"/>
    <w:rsid w:val="0015641A"/>
    <w:rsid w:val="00171C03"/>
    <w:rsid w:val="001B16BB"/>
    <w:rsid w:val="001C096B"/>
    <w:rsid w:val="001C6B15"/>
    <w:rsid w:val="001F0F86"/>
    <w:rsid w:val="00226ADF"/>
    <w:rsid w:val="00244981"/>
    <w:rsid w:val="00246E52"/>
    <w:rsid w:val="00253A2E"/>
    <w:rsid w:val="002844EF"/>
    <w:rsid w:val="00287E65"/>
    <w:rsid w:val="0029113E"/>
    <w:rsid w:val="0029634D"/>
    <w:rsid w:val="002A1690"/>
    <w:rsid w:val="002A4968"/>
    <w:rsid w:val="002A6A1B"/>
    <w:rsid w:val="002B37C9"/>
    <w:rsid w:val="002D2BC5"/>
    <w:rsid w:val="002E765F"/>
    <w:rsid w:val="002F108B"/>
    <w:rsid w:val="002F3499"/>
    <w:rsid w:val="00300E98"/>
    <w:rsid w:val="0034191A"/>
    <w:rsid w:val="00343CC7"/>
    <w:rsid w:val="00384A08"/>
    <w:rsid w:val="00392B35"/>
    <w:rsid w:val="003A753A"/>
    <w:rsid w:val="003B5566"/>
    <w:rsid w:val="003C5C03"/>
    <w:rsid w:val="003E1CB6"/>
    <w:rsid w:val="003E3CF6"/>
    <w:rsid w:val="003E759F"/>
    <w:rsid w:val="00403373"/>
    <w:rsid w:val="00406C81"/>
    <w:rsid w:val="00412545"/>
    <w:rsid w:val="00430BB0"/>
    <w:rsid w:val="004415C8"/>
    <w:rsid w:val="0044188E"/>
    <w:rsid w:val="00463D7D"/>
    <w:rsid w:val="004644F6"/>
    <w:rsid w:val="00476F4D"/>
    <w:rsid w:val="004A1B35"/>
    <w:rsid w:val="004A78A9"/>
    <w:rsid w:val="00506409"/>
    <w:rsid w:val="005304B0"/>
    <w:rsid w:val="00530E32"/>
    <w:rsid w:val="005328D7"/>
    <w:rsid w:val="00564A5E"/>
    <w:rsid w:val="005711A3"/>
    <w:rsid w:val="00573B2B"/>
    <w:rsid w:val="005906FA"/>
    <w:rsid w:val="005A47F7"/>
    <w:rsid w:val="005A4F04"/>
    <w:rsid w:val="005A5AC1"/>
    <w:rsid w:val="005B0815"/>
    <w:rsid w:val="005B3697"/>
    <w:rsid w:val="005B5793"/>
    <w:rsid w:val="006330A2"/>
    <w:rsid w:val="00642EB6"/>
    <w:rsid w:val="00647617"/>
    <w:rsid w:val="0065597E"/>
    <w:rsid w:val="00687B0E"/>
    <w:rsid w:val="006966B2"/>
    <w:rsid w:val="006A3B07"/>
    <w:rsid w:val="006B73C9"/>
    <w:rsid w:val="006E3220"/>
    <w:rsid w:val="006F7602"/>
    <w:rsid w:val="00701903"/>
    <w:rsid w:val="007172D7"/>
    <w:rsid w:val="00720139"/>
    <w:rsid w:val="00722A17"/>
    <w:rsid w:val="00755ADF"/>
    <w:rsid w:val="00757B83"/>
    <w:rsid w:val="007658CA"/>
    <w:rsid w:val="00786354"/>
    <w:rsid w:val="00791A69"/>
    <w:rsid w:val="00794830"/>
    <w:rsid w:val="00797CAA"/>
    <w:rsid w:val="007A1B6D"/>
    <w:rsid w:val="007A4691"/>
    <w:rsid w:val="007C2658"/>
    <w:rsid w:val="007D5C5E"/>
    <w:rsid w:val="007E20D0"/>
    <w:rsid w:val="007E7C33"/>
    <w:rsid w:val="007F1B34"/>
    <w:rsid w:val="00820315"/>
    <w:rsid w:val="008359A8"/>
    <w:rsid w:val="00841FCA"/>
    <w:rsid w:val="008421D6"/>
    <w:rsid w:val="00843B45"/>
    <w:rsid w:val="00847049"/>
    <w:rsid w:val="00851CF5"/>
    <w:rsid w:val="0086060F"/>
    <w:rsid w:val="00863129"/>
    <w:rsid w:val="00873779"/>
    <w:rsid w:val="00884B5E"/>
    <w:rsid w:val="008C2DB2"/>
    <w:rsid w:val="008D16A3"/>
    <w:rsid w:val="008D4AE7"/>
    <w:rsid w:val="008D770E"/>
    <w:rsid w:val="008E728F"/>
    <w:rsid w:val="008F0C61"/>
    <w:rsid w:val="00903064"/>
    <w:rsid w:val="0090337E"/>
    <w:rsid w:val="00912454"/>
    <w:rsid w:val="00921C84"/>
    <w:rsid w:val="00930A44"/>
    <w:rsid w:val="009A08C6"/>
    <w:rsid w:val="009A7E90"/>
    <w:rsid w:val="009C2378"/>
    <w:rsid w:val="009D016F"/>
    <w:rsid w:val="009D64DD"/>
    <w:rsid w:val="009E251D"/>
    <w:rsid w:val="00A12F6B"/>
    <w:rsid w:val="00A171F4"/>
    <w:rsid w:val="00A21288"/>
    <w:rsid w:val="00A24EFC"/>
    <w:rsid w:val="00A307C8"/>
    <w:rsid w:val="00A4363F"/>
    <w:rsid w:val="00A442BD"/>
    <w:rsid w:val="00A455D2"/>
    <w:rsid w:val="00A53939"/>
    <w:rsid w:val="00A66B7A"/>
    <w:rsid w:val="00A80677"/>
    <w:rsid w:val="00A937A8"/>
    <w:rsid w:val="00A977CE"/>
    <w:rsid w:val="00AA7F6B"/>
    <w:rsid w:val="00AD131F"/>
    <w:rsid w:val="00AF3B3A"/>
    <w:rsid w:val="00AF6569"/>
    <w:rsid w:val="00B02F50"/>
    <w:rsid w:val="00B06265"/>
    <w:rsid w:val="00B06B47"/>
    <w:rsid w:val="00B10777"/>
    <w:rsid w:val="00B401A3"/>
    <w:rsid w:val="00B560B8"/>
    <w:rsid w:val="00B5695F"/>
    <w:rsid w:val="00B700AF"/>
    <w:rsid w:val="00B90F78"/>
    <w:rsid w:val="00BB3463"/>
    <w:rsid w:val="00BD1058"/>
    <w:rsid w:val="00BF56B2"/>
    <w:rsid w:val="00C03396"/>
    <w:rsid w:val="00C1451A"/>
    <w:rsid w:val="00C16850"/>
    <w:rsid w:val="00C2570E"/>
    <w:rsid w:val="00C26502"/>
    <w:rsid w:val="00C457C3"/>
    <w:rsid w:val="00C511A9"/>
    <w:rsid w:val="00C644CA"/>
    <w:rsid w:val="00C73005"/>
    <w:rsid w:val="00C8219F"/>
    <w:rsid w:val="00C86C10"/>
    <w:rsid w:val="00CA3873"/>
    <w:rsid w:val="00CB398B"/>
    <w:rsid w:val="00CC09B3"/>
    <w:rsid w:val="00CE717A"/>
    <w:rsid w:val="00CF36C9"/>
    <w:rsid w:val="00D11102"/>
    <w:rsid w:val="00D116D2"/>
    <w:rsid w:val="00D166AC"/>
    <w:rsid w:val="00D26EC5"/>
    <w:rsid w:val="00D40E82"/>
    <w:rsid w:val="00D46F24"/>
    <w:rsid w:val="00D86EAF"/>
    <w:rsid w:val="00DB4F41"/>
    <w:rsid w:val="00DC3F3E"/>
    <w:rsid w:val="00DF6F47"/>
    <w:rsid w:val="00E04812"/>
    <w:rsid w:val="00E07B4C"/>
    <w:rsid w:val="00E14608"/>
    <w:rsid w:val="00E21E67"/>
    <w:rsid w:val="00E30EBF"/>
    <w:rsid w:val="00E33170"/>
    <w:rsid w:val="00E52D70"/>
    <w:rsid w:val="00E53EA8"/>
    <w:rsid w:val="00E55534"/>
    <w:rsid w:val="00E64B57"/>
    <w:rsid w:val="00E82A86"/>
    <w:rsid w:val="00E84995"/>
    <w:rsid w:val="00E914D1"/>
    <w:rsid w:val="00EA31D6"/>
    <w:rsid w:val="00EF6A98"/>
    <w:rsid w:val="00F03AF5"/>
    <w:rsid w:val="00F05B56"/>
    <w:rsid w:val="00F05EE4"/>
    <w:rsid w:val="00F20920"/>
    <w:rsid w:val="00F26021"/>
    <w:rsid w:val="00F30AE3"/>
    <w:rsid w:val="00F44A30"/>
    <w:rsid w:val="00F45F95"/>
    <w:rsid w:val="00F56318"/>
    <w:rsid w:val="00F82525"/>
    <w:rsid w:val="00F82850"/>
    <w:rsid w:val="00F97FEA"/>
    <w:rsid w:val="00FF1509"/>
    <w:rsid w:val="00FF18AD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Standard">
    <w:name w:val="Normal"/>
    <w:qFormat/>
    <w:rsid w:val="00B5695F"/>
    <w:rPr>
      <w:sz w:val="16"/>
      <w:szCs w:val="16"/>
      <w:lang w:val="fr-FR" w:eastAsia="en-US"/>
    </w:rPr>
  </w:style>
  <w:style w:type="paragraph" w:styleId="berschrift1">
    <w:name w:val="heading 1"/>
    <w:basedOn w:val="Standard"/>
    <w:next w:val="Text"/>
    <w:link w:val="berschrift1Zchn"/>
    <w:uiPriority w:val="9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Times New Roman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Times New Roman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Times New Roman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Times New Roman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A171F4"/>
    <w:rPr>
      <w:rFonts w:eastAsia="Times New Roman" w:cs="Times New Roman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2E765F"/>
    <w:rPr>
      <w:rFonts w:ascii="Verdana" w:hAnsi="Verdana" w:cs="Times New Roman"/>
      <w:b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9"/>
    <w:locked/>
    <w:rsid w:val="002E765F"/>
    <w:rPr>
      <w:rFonts w:ascii="Verdana" w:hAnsi="Verdana" w:cs="Times New Roman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9"/>
    <w:locked/>
    <w:rsid w:val="002E765F"/>
    <w:rPr>
      <w:rFonts w:ascii="Verdana" w:hAnsi="Verdana" w:cs="Times New Roman"/>
      <w:iCs/>
      <w:sz w:val="20"/>
      <w:szCs w:val="20"/>
    </w:rPr>
  </w:style>
  <w:style w:type="table" w:customStyle="1" w:styleId="Basic">
    <w:name w:val="Basic"/>
    <w:uiPriority w:val="99"/>
    <w:rsid w:val="008C2DB2"/>
    <w:rPr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spacing w:beforeLines="0" w:beforeAutospacing="0" w:afterLines="0" w:afterAutospacing="0"/>
      </w:pPr>
      <w:rPr>
        <w:rFonts w:cs="Times New Roman"/>
      </w:rPr>
    </w:tblStylePr>
  </w:style>
  <w:style w:type="paragraph" w:styleId="Kopfzeile">
    <w:name w:val="header"/>
    <w:basedOn w:val="Standard"/>
    <w:link w:val="KopfzeileZchn"/>
    <w:uiPriority w:val="99"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55534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642EB6"/>
    <w:rPr>
      <w:color w:val="41535D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642EB6"/>
    <w:rPr>
      <w:rFonts w:cs="Times New Roman"/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99"/>
    <w:rsid w:val="00E5553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99"/>
    <w:qFormat/>
    <w:rsid w:val="00843B45"/>
    <w:pPr>
      <w:spacing w:line="600" w:lineRule="exact"/>
      <w:contextualSpacing/>
    </w:pPr>
    <w:rPr>
      <w:rFonts w:eastAsia="Times New Roman"/>
      <w:b/>
      <w:color w:val="5C666F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99"/>
    <w:locked/>
    <w:rsid w:val="00843B45"/>
    <w:rPr>
      <w:rFonts w:ascii="Verdana" w:hAnsi="Verdana" w:cs="Times New Roman"/>
      <w:b/>
      <w:color w:val="5C666F"/>
      <w:sz w:val="52"/>
      <w:szCs w:val="52"/>
    </w:rPr>
  </w:style>
  <w:style w:type="character" w:styleId="Hervorhebung">
    <w:name w:val="Emphasis"/>
    <w:basedOn w:val="Absatz-Standardschriftart"/>
    <w:uiPriority w:val="99"/>
    <w:qFormat/>
    <w:rsid w:val="003E1CB6"/>
    <w:rPr>
      <w:rFonts w:cs="Times New Roman"/>
      <w:b/>
      <w:iCs/>
    </w:rPr>
  </w:style>
  <w:style w:type="paragraph" w:styleId="Untertitel">
    <w:name w:val="Subtitle"/>
    <w:basedOn w:val="Standard"/>
    <w:link w:val="UntertitelZchn"/>
    <w:uiPriority w:val="99"/>
    <w:qFormat/>
    <w:rsid w:val="00843B45"/>
    <w:pPr>
      <w:numPr>
        <w:ilvl w:val="1"/>
      </w:numPr>
      <w:spacing w:line="520" w:lineRule="atLeast"/>
    </w:pPr>
    <w:rPr>
      <w:rFonts w:eastAsia="Times New Roman"/>
      <w:iCs/>
      <w:color w:val="5C666F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locked/>
    <w:rsid w:val="00843B45"/>
    <w:rPr>
      <w:rFonts w:ascii="Verdana" w:hAnsi="Verdana" w:cs="Times New Roman"/>
      <w:iCs/>
      <w:color w:val="5C666F"/>
      <w:sz w:val="24"/>
      <w:szCs w:val="24"/>
    </w:rPr>
  </w:style>
  <w:style w:type="paragraph" w:customStyle="1" w:styleId="Themen">
    <w:name w:val="Themen"/>
    <w:basedOn w:val="Standard"/>
    <w:uiPriority w:val="99"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paragraph" w:styleId="Listenabsatz">
    <w:name w:val="List Paragraph"/>
    <w:basedOn w:val="Standard"/>
    <w:uiPriority w:val="99"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99"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99"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rsid w:val="007E20D0"/>
    <w:rPr>
      <w:rFonts w:ascii="Times New Roman" w:hAnsi="Times New Roman" w:cs="Times New Roman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99"/>
    <w:qFormat/>
    <w:rsid w:val="006F7602"/>
    <w:rPr>
      <w:rFonts w:cs="Times New Roman"/>
      <w:i/>
      <w:iCs/>
      <w:color w:val="auto"/>
    </w:rPr>
  </w:style>
  <w:style w:type="paragraph" w:customStyle="1" w:styleId="Bulletpoint1">
    <w:name w:val="Bulletpoint 1"/>
    <w:basedOn w:val="Standard"/>
    <w:uiPriority w:val="99"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99"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99"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Nummerrierung">
    <w:name w:val="Nummerrierung"/>
    <w:basedOn w:val="Standard"/>
    <w:uiPriority w:val="99"/>
    <w:rsid w:val="008D770E"/>
    <w:pPr>
      <w:numPr>
        <w:numId w:val="24"/>
      </w:numPr>
      <w:spacing w:after="120"/>
    </w:pPr>
    <w:rPr>
      <w:sz w:val="18"/>
    </w:rPr>
  </w:style>
  <w:style w:type="paragraph" w:customStyle="1" w:styleId="NummerrierungFett">
    <w:name w:val="Nummerrierung Fett"/>
    <w:basedOn w:val="Nummerrierung"/>
    <w:uiPriority w:val="99"/>
    <w:rsid w:val="00506409"/>
    <w:rPr>
      <w:b/>
    </w:rPr>
  </w:style>
  <w:style w:type="table" w:customStyle="1" w:styleId="Wirtgen">
    <w:name w:val="Wirtgen"/>
    <w:uiPriority w:val="99"/>
    <w:rsid w:val="008D770E"/>
    <w:pPr>
      <w:spacing w:before="60" w:after="60" w:line="220" w:lineRule="atLeast"/>
    </w:pPr>
    <w:rPr>
      <w:sz w:val="18"/>
      <w:szCs w:val="20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spacing w:beforeLines="40" w:beforeAutospacing="0" w:afterLines="40" w:afterAutospacing="0"/>
      </w:pPr>
      <w:rPr>
        <w:rFonts w:cs="Times New Roman"/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rFonts w:cs="Times New Roman"/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99"/>
    <w:rsid w:val="00A171F4"/>
  </w:style>
  <w:style w:type="paragraph" w:styleId="Beschriftung">
    <w:name w:val="caption"/>
    <w:basedOn w:val="Standard"/>
    <w:next w:val="Standard"/>
    <w:uiPriority w:val="99"/>
    <w:qFormat/>
    <w:rsid w:val="001B16BB"/>
    <w:pPr>
      <w:spacing w:before="120" w:after="120"/>
    </w:pPr>
    <w:rPr>
      <w:bCs/>
      <w:color w:val="41535D"/>
      <w:szCs w:val="18"/>
    </w:rPr>
  </w:style>
  <w:style w:type="paragraph" w:styleId="Inhaltsverzeichnisberschrift">
    <w:name w:val="TOC Heading"/>
    <w:basedOn w:val="berschrift1"/>
    <w:next w:val="Standard"/>
    <w:uiPriority w:val="9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99"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99"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99"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rsid w:val="00BD1058"/>
    <w:rPr>
      <w:rFonts w:cs="Times New Roman"/>
      <w:color w:val="41535D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rFonts w:cs="Times New Roman"/>
      <w:color w:val="808080"/>
    </w:rPr>
  </w:style>
  <w:style w:type="paragraph" w:customStyle="1" w:styleId="HeadlineFotos">
    <w:name w:val="Headline Fotos"/>
    <w:basedOn w:val="Standard"/>
    <w:next w:val="Text"/>
    <w:uiPriority w:val="99"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paragraph" w:customStyle="1" w:styleId="m-392584272899180672msolistparagraph">
    <w:name w:val="m_-392584272899180672msolistparagraph"/>
    <w:basedOn w:val="Standard"/>
    <w:uiPriority w:val="99"/>
    <w:rsid w:val="006966B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rsid w:val="00CB398B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CB398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3E21"/>
    <w:rPr>
      <w:sz w:val="20"/>
      <w:szCs w:val="20"/>
      <w:lang w:val="fr-FR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CB398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3E21"/>
    <w:rPr>
      <w:b/>
      <w:bCs/>
      <w:sz w:val="20"/>
      <w:szCs w:val="20"/>
      <w:lang w:val="fr-FR" w:eastAsia="en-US"/>
    </w:rPr>
  </w:style>
  <w:style w:type="numbering" w:customStyle="1" w:styleId="zzzBulletpoints">
    <w:name w:val="zzz_Bulletpoints"/>
    <w:rsid w:val="00443E21"/>
    <w:pPr>
      <w:numPr>
        <w:numId w:val="22"/>
      </w:numPr>
    </w:pPr>
  </w:style>
  <w:style w:type="numbering" w:customStyle="1" w:styleId="zzzThemen">
    <w:name w:val="zzz_Themen"/>
    <w:rsid w:val="00443E21"/>
    <w:pPr>
      <w:numPr>
        <w:numId w:val="18"/>
      </w:numPr>
    </w:pPr>
  </w:style>
  <w:style w:type="numbering" w:customStyle="1" w:styleId="zzzNummerierung">
    <w:name w:val="zzz_Nummerierung"/>
    <w:rsid w:val="00443E21"/>
    <w:pPr>
      <w:numPr>
        <w:numId w:val="24"/>
      </w:numPr>
    </w:pPr>
  </w:style>
  <w:style w:type="numbering" w:customStyle="1" w:styleId="zzzHeadlines">
    <w:name w:val="zzz_Headlines"/>
    <w:rsid w:val="00443E21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berschrift1Zchn">
    <w:name w:val="zzzBulletpoints"/>
    <w:pPr>
      <w:numPr>
        <w:numId w:val="22"/>
      </w:numPr>
    </w:pPr>
  </w:style>
  <w:style w:type="numbering" w:customStyle="1" w:styleId="berschrift2Zchn">
    <w:name w:val="zzzThemen"/>
    <w:pPr>
      <w:numPr>
        <w:numId w:val="18"/>
      </w:numPr>
    </w:pPr>
  </w:style>
  <w:style w:type="numbering" w:customStyle="1" w:styleId="berschrift3Zchn">
    <w:name w:val="zzzNummerierung"/>
    <w:pPr>
      <w:numPr>
        <w:numId w:val="24"/>
      </w:numPr>
    </w:pPr>
  </w:style>
  <w:style w:type="numbering" w:customStyle="1" w:styleId="berschrift4Zchn">
    <w:name w:val="zzzHeadlines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42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723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 rotor de fraisage et de malaxage Wirtgen DuraForce – un rotor adapté à toutes les situations</vt:lpstr>
    </vt:vector>
  </TitlesOfParts>
  <Company>Wirtgen GmbH</Company>
  <LinksUpToDate>false</LinksUpToDate>
  <CharactersWithSpaces>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rotor de fraisage et de malaxage Wirtgen DuraForce – un rotor adapté à toutes les situations</dc:title>
  <dc:creator>Schüler Angelika</dc:creator>
  <cp:lastModifiedBy>Linnemann Mario</cp:lastModifiedBy>
  <cp:revision>12</cp:revision>
  <cp:lastPrinted>2018-03-05T08:02:00Z</cp:lastPrinted>
  <dcterms:created xsi:type="dcterms:W3CDTF">2018-03-16T10:44:00Z</dcterms:created>
  <dcterms:modified xsi:type="dcterms:W3CDTF">2018-03-27T15:00:00Z</dcterms:modified>
</cp:coreProperties>
</file>